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7A72" w14:textId="0551E9F4" w:rsidR="00BC11CE" w:rsidRPr="002512A8" w:rsidRDefault="00BC11CE" w:rsidP="00FA59CE">
      <w:pPr>
        <w:pStyle w:val="2nesltext"/>
        <w:contextualSpacing/>
        <w:jc w:val="center"/>
        <w:rPr>
          <w:b/>
          <w:sz w:val="28"/>
        </w:rPr>
      </w:pPr>
      <w:r>
        <w:rPr>
          <w:b/>
          <w:sz w:val="28"/>
        </w:rPr>
        <w:t xml:space="preserve">Annex 2 to the </w:t>
      </w:r>
      <w:r w:rsidR="00C3059B">
        <w:rPr>
          <w:b/>
          <w:sz w:val="28"/>
        </w:rPr>
        <w:t>Procurement</w:t>
      </w:r>
      <w:r>
        <w:rPr>
          <w:b/>
          <w:sz w:val="28"/>
        </w:rPr>
        <w:t xml:space="preserve"> Documentation</w:t>
      </w:r>
    </w:p>
    <w:p w14:paraId="05910850" w14:textId="77777777" w:rsidR="002512C7" w:rsidRPr="002512C7" w:rsidRDefault="002512C7" w:rsidP="002512C7">
      <w:pPr>
        <w:pStyle w:val="2nesltext"/>
        <w:contextualSpacing/>
        <w:jc w:val="center"/>
        <w:rPr>
          <w:b/>
          <w:sz w:val="28"/>
        </w:rPr>
      </w:pPr>
      <w:r>
        <w:rPr>
          <w:b/>
          <w:sz w:val="28"/>
        </w:rPr>
        <w:t>-</w:t>
      </w:r>
    </w:p>
    <w:p w14:paraId="27F88E93" w14:textId="77777777" w:rsidR="002512C7" w:rsidRPr="002512C7" w:rsidRDefault="00056FB8" w:rsidP="00056FB8">
      <w:pPr>
        <w:pStyle w:val="2nesltext"/>
        <w:spacing w:before="240" w:after="600"/>
        <w:jc w:val="center"/>
      </w:pPr>
      <w:r>
        <w:rPr>
          <w:b/>
          <w:sz w:val="28"/>
        </w:rPr>
        <w:t>Template for the Summary Affirmation of Eligibility, Competence, and Qualification</w:t>
      </w:r>
      <w:r>
        <w:rPr>
          <w:b/>
          <w:sz w:val="28"/>
        </w:rPr>
        <w:br/>
        <w:t>within the meaning of Section 86 (2) of the Act</w:t>
      </w:r>
    </w:p>
    <w:p w14:paraId="05827762" w14:textId="77777777" w:rsidR="00056FB8" w:rsidRDefault="00056FB8" w:rsidP="00056FB8">
      <w:pPr>
        <w:pStyle w:val="2nesltext"/>
        <w:spacing w:before="240"/>
        <w:jc w:val="center"/>
      </w:pPr>
      <w:r>
        <w:rPr>
          <w:b/>
          <w:sz w:val="28"/>
        </w:rPr>
        <w:t>Affirmation of Eligibility, Competence, and Qualification</w:t>
      </w:r>
    </w:p>
    <w:p w14:paraId="792A8CF4" w14:textId="0E6CC557" w:rsidR="002512C7" w:rsidRPr="00BA1E38" w:rsidRDefault="00374DB7" w:rsidP="00FA59CE">
      <w:pPr>
        <w:pStyle w:val="2nesltext"/>
      </w:pPr>
      <w:r>
        <w:t>The supplier,</w:t>
      </w:r>
      <w:r w:rsidR="00C96B15">
        <w:t xml:space="preserve"> </w:t>
      </w:r>
      <w:r w:rsidR="0025009E" w:rsidRPr="00AB60E3">
        <w:rPr>
          <w:b/>
          <w:highlight w:val="yellow"/>
        </w:rPr>
        <w:fldChar w:fldCharType="begin"/>
      </w:r>
      <w:r w:rsidR="00C96B15" w:rsidRPr="00AB60E3">
        <w:rPr>
          <w:b/>
          <w:highlight w:val="yellow"/>
        </w:rPr>
        <w:instrText xml:space="preserve"> MACROBUTTON  AcceptConflict “[to be filled in by the tenderer]” </w:instrText>
      </w:r>
      <w:r w:rsidR="0025009E" w:rsidRPr="00AB60E3">
        <w:rPr>
          <w:highlight w:val="yellow"/>
        </w:rPr>
        <w:fldChar w:fldCharType="end"/>
      </w:r>
      <w:r w:rsidR="00C96B15">
        <w:t>, I</w:t>
      </w:r>
      <w:r w:rsidR="0069025D">
        <w:t>D</w:t>
      </w:r>
      <w:r w:rsidR="00C96B15">
        <w:t xml:space="preserve"> No.: </w:t>
      </w:r>
      <w:r w:rsidR="0025009E" w:rsidRPr="00AB60E3">
        <w:rPr>
          <w:highlight w:val="yellow"/>
        </w:rPr>
        <w:fldChar w:fldCharType="begin"/>
      </w:r>
      <w:r w:rsidR="00C96B15" w:rsidRPr="00AB60E3">
        <w:rPr>
          <w:highlight w:val="yellow"/>
        </w:rPr>
        <w:instrText xml:space="preserve"> MACROBUTTON  AcceptConflict “[to be filled in by the tenderer]” </w:instrText>
      </w:r>
      <w:r w:rsidR="0025009E" w:rsidRPr="00AB60E3">
        <w:rPr>
          <w:highlight w:val="yellow"/>
        </w:rPr>
        <w:fldChar w:fldCharType="end"/>
      </w:r>
      <w:r w:rsidR="00C96B15">
        <w:t xml:space="preserve">, with its registered office at: </w:t>
      </w:r>
      <w:r w:rsidR="0025009E" w:rsidRPr="00AB60E3">
        <w:rPr>
          <w:highlight w:val="yellow"/>
        </w:rPr>
        <w:fldChar w:fldCharType="begin"/>
      </w:r>
      <w:r w:rsidR="00C96B15" w:rsidRPr="00AB60E3">
        <w:rPr>
          <w:highlight w:val="yellow"/>
        </w:rPr>
        <w:instrText xml:space="preserve"> MACROBUTTON  AcceptConflict “[to be filled in by the tenderer]” </w:instrText>
      </w:r>
      <w:r w:rsidR="0025009E" w:rsidRPr="00AB60E3">
        <w:rPr>
          <w:highlight w:val="yellow"/>
        </w:rPr>
        <w:fldChar w:fldCharType="end"/>
      </w:r>
      <w:r w:rsidR="00C96B15">
        <w:t>, post code </w:t>
      </w:r>
      <w:r w:rsidR="0025009E" w:rsidRPr="00AB60E3">
        <w:rPr>
          <w:highlight w:val="yellow"/>
        </w:rPr>
        <w:fldChar w:fldCharType="begin"/>
      </w:r>
      <w:r w:rsidR="00C96B15" w:rsidRPr="00AB60E3">
        <w:rPr>
          <w:highlight w:val="yellow"/>
        </w:rPr>
        <w:instrText xml:space="preserve"> MACROBUTTON  AcceptConflict “[to be filled in by the tenderer]” </w:instrText>
      </w:r>
      <w:r w:rsidR="0025009E" w:rsidRPr="00AB60E3">
        <w:rPr>
          <w:highlight w:val="yellow"/>
        </w:rPr>
        <w:fldChar w:fldCharType="end"/>
      </w:r>
      <w:r w:rsidR="00C96B15">
        <w:t xml:space="preserve"> (“</w:t>
      </w:r>
      <w:r>
        <w:rPr>
          <w:b/>
          <w:i/>
        </w:rPr>
        <w:t>supplier</w:t>
      </w:r>
      <w:r w:rsidR="00C96B15">
        <w:t xml:space="preserve">”), in </w:t>
      </w:r>
      <w:r>
        <w:t>its</w:t>
      </w:r>
      <w:r w:rsidR="00C96B15">
        <w:t xml:space="preserve"> capacity </w:t>
      </w:r>
      <w:r>
        <w:t>as</w:t>
      </w:r>
      <w:r w:rsidR="00C96B15">
        <w:t xml:space="preserve"> a tenderer in the procurement procedure for the public contract entitled </w:t>
      </w:r>
      <w:r w:rsidR="00C96B15">
        <w:rPr>
          <w:b/>
        </w:rPr>
        <w:t xml:space="preserve">LF HK – Ph.D. Infra </w:t>
      </w:r>
      <w:r>
        <w:rPr>
          <w:b/>
        </w:rPr>
        <w:t xml:space="preserve">for Charles University </w:t>
      </w:r>
      <w:r w:rsidR="00C96B15">
        <w:rPr>
          <w:b/>
        </w:rPr>
        <w:t>– High-Resolution Respirometer</w:t>
      </w:r>
      <w:r w:rsidR="00C96B15">
        <w:t>,</w:t>
      </w:r>
      <w:r w:rsidR="00C96B15">
        <w:rPr>
          <w:b/>
        </w:rPr>
        <w:t xml:space="preserve"> </w:t>
      </w:r>
      <w:r w:rsidR="00C96B15">
        <w:t>hereby affirms, in accordance with Section 86 (2) of Act No. 134/2016 Sb., to regulate public procurement, as amended (“Act”), that it meets the conditions set out for eligibility, competence, and qualification required by the law and the procurement documents.</w:t>
      </w:r>
    </w:p>
    <w:p w14:paraId="706E647C" w14:textId="77777777" w:rsidR="00DE2167" w:rsidRPr="00BA1E38" w:rsidRDefault="00DE2167" w:rsidP="00DE2167">
      <w:pPr>
        <w:pStyle w:val="2margrubrika"/>
      </w:pPr>
      <w:r>
        <w:t>Basic eligibility</w:t>
      </w:r>
    </w:p>
    <w:p w14:paraId="5611EA99" w14:textId="77777777" w:rsidR="00DE2167" w:rsidRPr="00BA1E38" w:rsidRDefault="00DE2167" w:rsidP="00DE2167">
      <w:pPr>
        <w:pStyle w:val="2nesltext"/>
        <w:keepNext/>
      </w:pPr>
      <w:r>
        <w:t xml:space="preserve">With respect to </w:t>
      </w:r>
      <w:r>
        <w:rPr>
          <w:b/>
        </w:rPr>
        <w:t>basic eligibility</w:t>
      </w:r>
      <w:r>
        <w:t xml:space="preserve"> </w:t>
      </w:r>
      <w:r>
        <w:rPr>
          <w:b/>
        </w:rPr>
        <w:t>under Section 74 (1) of the Act</w:t>
      </w:r>
      <w:r>
        <w:t>, the tenderer affirms the following:</w:t>
      </w:r>
    </w:p>
    <w:p w14:paraId="0861CBAC" w14:textId="222A524E" w:rsidR="00DE2167" w:rsidRPr="00BA1E38" w:rsidRDefault="00DE2167" w:rsidP="00DE2167">
      <w:pPr>
        <w:pStyle w:val="3seznam"/>
        <w:numPr>
          <w:ilvl w:val="2"/>
          <w:numId w:val="1"/>
        </w:numPr>
      </w:pPr>
      <w:r>
        <w:t xml:space="preserve">A final judgment of conviction has not been delivered against the tenderer in the state where the </w:t>
      </w:r>
      <w:r w:rsidR="00374DB7">
        <w:t>supplier</w:t>
      </w:r>
      <w:r>
        <w:t xml:space="preserve">’s registered office is located for a crime enumerated in Annex 3 to the Act or a similar crime under the law of the state where the </w:t>
      </w:r>
      <w:r w:rsidR="00374DB7">
        <w:t>supplier</w:t>
      </w:r>
      <w:r>
        <w:t xml:space="preserve">’s registered office is located </w:t>
      </w:r>
      <w:r w:rsidR="0069025D">
        <w:t>with</w:t>
      </w:r>
      <w:r>
        <w:t xml:space="preserve">in the last 5 years before the </w:t>
      </w:r>
      <w:r w:rsidR="00374DB7">
        <w:t>commencement</w:t>
      </w:r>
      <w:r>
        <w:t xml:space="preserve"> of the procurement procedure;</w:t>
      </w:r>
    </w:p>
    <w:p w14:paraId="2ACF4207" w14:textId="2FB885B0" w:rsidR="00DE2167" w:rsidRPr="00BA1E38" w:rsidRDefault="00DE2167" w:rsidP="00DE2167">
      <w:pPr>
        <w:pStyle w:val="3seznam"/>
        <w:numPr>
          <w:ilvl w:val="2"/>
          <w:numId w:val="1"/>
        </w:numPr>
      </w:pPr>
      <w:r>
        <w:t xml:space="preserve">The tax register shows that the tenderer does not have tax arrears in the Czech Republic or in the state where the </w:t>
      </w:r>
      <w:r w:rsidR="00374DB7">
        <w:t>supplier</w:t>
      </w:r>
      <w:r>
        <w:t xml:space="preserve">’s registered office is located, not even in relation to consumption tax; </w:t>
      </w:r>
    </w:p>
    <w:p w14:paraId="6C24D763" w14:textId="77777777" w:rsidR="00DE2167" w:rsidRPr="00BA1E38" w:rsidRDefault="00DE2167" w:rsidP="00DE2167">
      <w:pPr>
        <w:pStyle w:val="3seznam"/>
        <w:numPr>
          <w:ilvl w:val="2"/>
          <w:numId w:val="1"/>
        </w:numPr>
      </w:pPr>
      <w:bookmarkStart w:id="0" w:name="_Ref458504951"/>
      <w:r>
        <w:t xml:space="preserve">The tenderer is not in arrears with public healthcare insurance contributions or penalties in the Czech Republic or in the state where the tenderer’s registered office is located; </w:t>
      </w:r>
      <w:bookmarkEnd w:id="0"/>
    </w:p>
    <w:p w14:paraId="5C67F0CB" w14:textId="77777777" w:rsidR="00DE2167" w:rsidRPr="00BA1E38" w:rsidRDefault="00DE2167" w:rsidP="00DE2167">
      <w:pPr>
        <w:pStyle w:val="3seznam"/>
        <w:numPr>
          <w:ilvl w:val="2"/>
          <w:numId w:val="1"/>
        </w:numPr>
      </w:pPr>
      <w:bookmarkStart w:id="1" w:name="_Ref458505017"/>
      <w:r>
        <w:t>The tenderer is not in arrears with social security insurance contributions or penalties, or with contributions to the state employment policy in the Czech Republic or in the state where the tenderer’s registered office is located;</w:t>
      </w:r>
      <w:bookmarkEnd w:id="1"/>
    </w:p>
    <w:p w14:paraId="1A8D7118" w14:textId="29D096A7" w:rsidR="00DE2167" w:rsidRPr="00BA1E38" w:rsidRDefault="00DE2167" w:rsidP="00DE2167">
      <w:pPr>
        <w:pStyle w:val="3seznam"/>
        <w:numPr>
          <w:ilvl w:val="2"/>
          <w:numId w:val="1"/>
        </w:numPr>
      </w:pPr>
      <w:bookmarkStart w:id="2" w:name="_Ref458505055"/>
      <w:r>
        <w:t xml:space="preserve">The tenderer is not in liquidation, a ruling on insolvency has not been issued against the </w:t>
      </w:r>
      <w:r w:rsidR="00374DB7">
        <w:t>tenderer</w:t>
      </w:r>
      <w:r>
        <w:t xml:space="preserve">, the </w:t>
      </w:r>
      <w:r w:rsidR="00374DB7">
        <w:t>tenderer</w:t>
      </w:r>
      <w:r>
        <w:t xml:space="preserve"> has not been placed into receivership under another legal regulation nor is the </w:t>
      </w:r>
      <w:r w:rsidR="00374DB7">
        <w:t>tenderer</w:t>
      </w:r>
      <w:r>
        <w:t xml:space="preserve"> in a similar situation in accordance with the law of the state where the </w:t>
      </w:r>
      <w:r w:rsidR="00374DB7">
        <w:t>supplier</w:t>
      </w:r>
      <w:r>
        <w:t>’s registered office is located.</w:t>
      </w:r>
      <w:bookmarkEnd w:id="2"/>
    </w:p>
    <w:p w14:paraId="3F3854ED" w14:textId="77777777" w:rsidR="00DE2167" w:rsidRPr="00BA1E38" w:rsidRDefault="00DE2167" w:rsidP="00DE2167">
      <w:pPr>
        <w:pStyle w:val="2nesltext"/>
        <w:keepNext/>
      </w:pPr>
      <w:r>
        <w:t xml:space="preserve">If the tenderer is a legal entity, it also affirms that the </w:t>
      </w:r>
      <w:r>
        <w:rPr>
          <w:b/>
        </w:rPr>
        <w:t>condition under (a) is met by:</w:t>
      </w:r>
    </w:p>
    <w:p w14:paraId="6F1ECC34" w14:textId="77777777" w:rsidR="00DE2167" w:rsidRPr="00BA1E38" w:rsidRDefault="00DE2167" w:rsidP="0060116F">
      <w:pPr>
        <w:pStyle w:val="3seznam"/>
        <w:numPr>
          <w:ilvl w:val="2"/>
          <w:numId w:val="4"/>
        </w:numPr>
      </w:pPr>
      <w:r>
        <w:t>The legal entity and, at the same time,</w:t>
      </w:r>
    </w:p>
    <w:p w14:paraId="0B8CEB5E" w14:textId="77777777" w:rsidR="00DE2167" w:rsidRPr="00BA1E38" w:rsidRDefault="00DE2167" w:rsidP="00DE2167">
      <w:pPr>
        <w:pStyle w:val="3seznam"/>
        <w:numPr>
          <w:ilvl w:val="2"/>
          <w:numId w:val="1"/>
        </w:numPr>
      </w:pPr>
      <w:r>
        <w:t>Each member of the governing body of the legal entity.</w:t>
      </w:r>
    </w:p>
    <w:p w14:paraId="382E2E05" w14:textId="42304435" w:rsidR="00DE2167" w:rsidRPr="00BA1E38" w:rsidRDefault="00DE2167" w:rsidP="00DE2167">
      <w:pPr>
        <w:pStyle w:val="2nesltext"/>
        <w:keepNext/>
      </w:pPr>
      <w:r>
        <w:t xml:space="preserve">If a member of the tenderer’s governing body is a legal entity, the tenderer also affirms that the </w:t>
      </w:r>
      <w:r>
        <w:rPr>
          <w:b/>
        </w:rPr>
        <w:t>condition under (a) is met by:</w:t>
      </w:r>
    </w:p>
    <w:p w14:paraId="5EA84A7C" w14:textId="77777777" w:rsidR="00DE2167" w:rsidRPr="00BA1E38" w:rsidRDefault="005F2E9C" w:rsidP="0060116F">
      <w:pPr>
        <w:pStyle w:val="3seznam"/>
        <w:numPr>
          <w:ilvl w:val="2"/>
          <w:numId w:val="5"/>
        </w:numPr>
      </w:pPr>
      <w:r>
        <w:t>The legal entity;</w:t>
      </w:r>
    </w:p>
    <w:p w14:paraId="793E5AA0" w14:textId="77777777" w:rsidR="00DE2167" w:rsidRPr="00BA1E38" w:rsidRDefault="00DE2167" w:rsidP="00DE2167">
      <w:pPr>
        <w:pStyle w:val="3seznam"/>
        <w:numPr>
          <w:ilvl w:val="2"/>
          <w:numId w:val="1"/>
        </w:numPr>
      </w:pPr>
      <w:r>
        <w:t>Each member of the governing body of the legal entity; and</w:t>
      </w:r>
    </w:p>
    <w:p w14:paraId="68279552" w14:textId="77777777" w:rsidR="00DE2167" w:rsidRPr="00BA1E38" w:rsidRDefault="00DE2167" w:rsidP="00DE2167">
      <w:pPr>
        <w:pStyle w:val="3seznam"/>
        <w:numPr>
          <w:ilvl w:val="2"/>
          <w:numId w:val="1"/>
        </w:numPr>
      </w:pPr>
      <w:r>
        <w:lastRenderedPageBreak/>
        <w:t xml:space="preserve">The person representing the legal entity in the tenderer’s governing body. </w:t>
      </w:r>
    </w:p>
    <w:p w14:paraId="51986BE4" w14:textId="7C7222CD" w:rsidR="00DE2167" w:rsidRPr="00BA1E38" w:rsidRDefault="00DE2167" w:rsidP="00DE2167">
      <w:pPr>
        <w:pStyle w:val="2nesltext"/>
      </w:pPr>
      <w:r>
        <w:t xml:space="preserve">If the tenderer is a branch of a business </w:t>
      </w:r>
      <w:r w:rsidR="000F7CBD">
        <w:t xml:space="preserve">of </w:t>
      </w:r>
      <w:r>
        <w:t xml:space="preserve">a foreign legal entity, it also affirms that </w:t>
      </w:r>
      <w:r>
        <w:rPr>
          <w:b/>
        </w:rPr>
        <w:t>the condition under (a) is met by</w:t>
      </w:r>
      <w:r>
        <w:t xml:space="preserve"> the legal person and the head of the branch of the business.</w:t>
      </w:r>
    </w:p>
    <w:p w14:paraId="5F6FE264" w14:textId="5CC690E1" w:rsidR="00DE2167" w:rsidRPr="00BA1E38" w:rsidRDefault="00DE2167" w:rsidP="00DE2167">
      <w:pPr>
        <w:pStyle w:val="2nesltext"/>
        <w:keepNext/>
      </w:pPr>
      <w:r>
        <w:t xml:space="preserve">If the tenderer is a branch of a business </w:t>
      </w:r>
      <w:r w:rsidR="000F7CBD">
        <w:t xml:space="preserve">of </w:t>
      </w:r>
      <w:r>
        <w:t xml:space="preserve">a Czech legal entity, it affirms that the </w:t>
      </w:r>
      <w:r>
        <w:rPr>
          <w:b/>
        </w:rPr>
        <w:t>condition under (a) is met by:</w:t>
      </w:r>
    </w:p>
    <w:p w14:paraId="624D0AFD" w14:textId="77777777" w:rsidR="00DE2167" w:rsidRPr="00BA1E38" w:rsidRDefault="00DE2167" w:rsidP="0060116F">
      <w:pPr>
        <w:pStyle w:val="3seznam"/>
        <w:numPr>
          <w:ilvl w:val="2"/>
          <w:numId w:val="6"/>
        </w:numPr>
      </w:pPr>
      <w:r>
        <w:t>The legal entity;</w:t>
      </w:r>
    </w:p>
    <w:p w14:paraId="40AB84FF" w14:textId="77777777" w:rsidR="00DE2167" w:rsidRPr="00BA1E38" w:rsidRDefault="00DE2167" w:rsidP="00DE2167">
      <w:pPr>
        <w:pStyle w:val="3seznam"/>
        <w:numPr>
          <w:ilvl w:val="2"/>
          <w:numId w:val="1"/>
        </w:numPr>
      </w:pPr>
      <w:r>
        <w:t>Each member of the governing body of the legal entity;</w:t>
      </w:r>
    </w:p>
    <w:p w14:paraId="0F19F27F" w14:textId="326C3F97" w:rsidR="00DE2167" w:rsidRPr="00BA1E38" w:rsidRDefault="00DE2167" w:rsidP="00DE2167">
      <w:pPr>
        <w:pStyle w:val="3seznam"/>
        <w:numPr>
          <w:ilvl w:val="2"/>
          <w:numId w:val="1"/>
        </w:numPr>
      </w:pPr>
      <w:r>
        <w:t xml:space="preserve">The person representing the legal entity in the </w:t>
      </w:r>
      <w:r w:rsidR="00374DB7">
        <w:t>supplier</w:t>
      </w:r>
      <w:r>
        <w:t>’s governing body; and</w:t>
      </w:r>
    </w:p>
    <w:p w14:paraId="7178AD07" w14:textId="77777777" w:rsidR="00DE2167" w:rsidRPr="00BA1E38" w:rsidRDefault="00DE2167" w:rsidP="00DE2167">
      <w:pPr>
        <w:pStyle w:val="3seznam"/>
        <w:numPr>
          <w:ilvl w:val="2"/>
          <w:numId w:val="1"/>
        </w:numPr>
      </w:pPr>
      <w:r>
        <w:t>The head of the branch of the business.</w:t>
      </w:r>
    </w:p>
    <w:p w14:paraId="3D92DCE7" w14:textId="77777777" w:rsidR="00DE2167" w:rsidRPr="00BA1E38" w:rsidRDefault="00DE2167" w:rsidP="00DE2167">
      <w:pPr>
        <w:pStyle w:val="2margrubrika"/>
      </w:pPr>
      <w:r>
        <w:t>Professional competence</w:t>
      </w:r>
    </w:p>
    <w:p w14:paraId="46317165" w14:textId="77777777" w:rsidR="00DE2167" w:rsidRPr="00BA1E38" w:rsidRDefault="00DE2167" w:rsidP="00DE2167">
      <w:pPr>
        <w:pStyle w:val="2nesltext"/>
        <w:keepNext/>
      </w:pPr>
      <w:r>
        <w:t>With respect to </w:t>
      </w:r>
      <w:r>
        <w:rPr>
          <w:b/>
        </w:rPr>
        <w:t>professional competence</w:t>
      </w:r>
      <w:r>
        <w:t xml:space="preserve"> </w:t>
      </w:r>
      <w:r>
        <w:rPr>
          <w:b/>
        </w:rPr>
        <w:t>under Section 77 (1) of the Act</w:t>
      </w:r>
      <w:r>
        <w:t>, the tenderer affirms the following:</w:t>
      </w:r>
    </w:p>
    <w:p w14:paraId="71D8039C" w14:textId="59D08D9F" w:rsidR="00DE2167" w:rsidRDefault="00DE2167" w:rsidP="000F084C">
      <w:pPr>
        <w:pStyle w:val="3seznam"/>
        <w:numPr>
          <w:ilvl w:val="2"/>
          <w:numId w:val="7"/>
        </w:numPr>
        <w:spacing w:after="240"/>
      </w:pPr>
      <w:r>
        <w:t xml:space="preserve">The tenderer is entered in the Commercial Register or other </w:t>
      </w:r>
      <w:r w:rsidR="000F7CBD">
        <w:t xml:space="preserve">similar </w:t>
      </w:r>
      <w:r>
        <w:t>register if an entry in such register is required under another legal regulation.</w:t>
      </w:r>
    </w:p>
    <w:p w14:paraId="4652E8E2" w14:textId="01220C8A" w:rsidR="000F084C" w:rsidRDefault="000F084C" w:rsidP="000F084C">
      <w:pPr>
        <w:pStyle w:val="3seznam"/>
        <w:numPr>
          <w:ilvl w:val="0"/>
          <w:numId w:val="0"/>
        </w:numPr>
        <w:spacing w:after="240"/>
      </w:pPr>
      <w:r>
        <w:t xml:space="preserve">Professional competence under Section 77 (2) (a) of the Act – </w:t>
      </w:r>
      <w:r>
        <w:rPr>
          <w:b/>
        </w:rPr>
        <w:t>business authorisation</w:t>
      </w:r>
      <w:r>
        <w:t xml:space="preserve"> is not required.</w:t>
      </w:r>
    </w:p>
    <w:p w14:paraId="1247B153" w14:textId="72BB7E8A" w:rsidR="000F084C" w:rsidRDefault="000F084C" w:rsidP="000F084C">
      <w:pPr>
        <w:pStyle w:val="3seznam"/>
        <w:numPr>
          <w:ilvl w:val="0"/>
          <w:numId w:val="0"/>
        </w:numPr>
        <w:spacing w:after="240"/>
      </w:pPr>
      <w:r>
        <w:t xml:space="preserve">Professional competence under Section 77 (2) (b) of the Act – </w:t>
      </w:r>
      <w:r>
        <w:rPr>
          <w:b/>
        </w:rPr>
        <w:t xml:space="preserve">membership in a professional self-governing chamber or another professional organisation </w:t>
      </w:r>
      <w:r>
        <w:t>is not required.</w:t>
      </w:r>
    </w:p>
    <w:p w14:paraId="1DF26161" w14:textId="5F7D6AB3" w:rsidR="000F084C" w:rsidRPr="00BA1E38" w:rsidRDefault="000F084C" w:rsidP="000F084C">
      <w:pPr>
        <w:pStyle w:val="3seznam"/>
        <w:numPr>
          <w:ilvl w:val="0"/>
          <w:numId w:val="0"/>
        </w:numPr>
        <w:spacing w:after="240"/>
      </w:pPr>
      <w:r>
        <w:t xml:space="preserve">Professional competence under Section 77 (2) (c) of the Act – </w:t>
      </w:r>
      <w:r>
        <w:rPr>
          <w:b/>
        </w:rPr>
        <w:t>professional qualification</w:t>
      </w:r>
      <w:r>
        <w:t xml:space="preserve"> is not required.</w:t>
      </w:r>
    </w:p>
    <w:p w14:paraId="152DC29F" w14:textId="77777777" w:rsidR="00DE2167" w:rsidRPr="0047081F" w:rsidRDefault="00DE2167" w:rsidP="00F878BD">
      <w:pPr>
        <w:pStyle w:val="2margrubrika"/>
      </w:pPr>
      <w:r>
        <w:t>Economic qualification</w:t>
      </w:r>
    </w:p>
    <w:p w14:paraId="17901240" w14:textId="77777777" w:rsidR="00DA5103" w:rsidRPr="00CE6255" w:rsidRDefault="00DA5103" w:rsidP="00DA5103">
      <w:pPr>
        <w:pStyle w:val="2nesltext"/>
      </w:pPr>
      <w:r>
        <w:t>Economic qualification under Section 78 of the Act is not required.</w:t>
      </w:r>
    </w:p>
    <w:p w14:paraId="0D18D57A" w14:textId="77777777" w:rsidR="00DE2167" w:rsidRPr="00CE6255" w:rsidRDefault="00DE2167" w:rsidP="00DE2167">
      <w:pPr>
        <w:pStyle w:val="2margrubrika"/>
      </w:pPr>
      <w:r>
        <w:t>Technical qualification</w:t>
      </w:r>
    </w:p>
    <w:p w14:paraId="0CC273F4" w14:textId="44E82562" w:rsidR="00DE2167" w:rsidRDefault="00DE2167" w:rsidP="00DE2167">
      <w:pPr>
        <w:pStyle w:val="2nesltext"/>
        <w:keepNext/>
      </w:pPr>
      <w:r>
        <w:t xml:space="preserve">With respect to </w:t>
      </w:r>
      <w:r>
        <w:rPr>
          <w:b/>
        </w:rPr>
        <w:t>technical qualification</w:t>
      </w:r>
      <w:r>
        <w:t xml:space="preserve"> </w:t>
      </w:r>
      <w:r>
        <w:rPr>
          <w:b/>
        </w:rPr>
        <w:t>under Section 79 (2) (b)</w:t>
      </w:r>
      <w:r>
        <w:t xml:space="preserve"> </w:t>
      </w:r>
      <w:r>
        <w:rPr>
          <w:b/>
        </w:rPr>
        <w:t>of the Act</w:t>
      </w:r>
      <w:r>
        <w:t>, the tenderer affirms that it meets all the criteria for technical qualification required by the contracting authority, specifically that:</w:t>
      </w:r>
    </w:p>
    <w:p w14:paraId="4E779E7D" w14:textId="30FB1D8B" w:rsidR="008C0867" w:rsidRPr="00E45C74" w:rsidRDefault="0069025D" w:rsidP="008C0867">
      <w:pPr>
        <w:pStyle w:val="3seznam"/>
        <w:numPr>
          <w:ilvl w:val="2"/>
          <w:numId w:val="23"/>
        </w:numPr>
      </w:pPr>
      <w:r>
        <w:rPr>
          <w:b/>
        </w:rPr>
        <w:t>Within</w:t>
      </w:r>
      <w:r w:rsidR="008C0867">
        <w:rPr>
          <w:b/>
        </w:rPr>
        <w:t xml:space="preserve"> the last 3 years</w:t>
      </w:r>
      <w:r w:rsidR="000F7CBD">
        <w:rPr>
          <w:b/>
        </w:rPr>
        <w:t xml:space="preserve"> </w:t>
      </w:r>
      <w:r w:rsidR="008C0867">
        <w:t xml:space="preserve">before the </w:t>
      </w:r>
      <w:r w:rsidR="000F7CBD">
        <w:t>commencement</w:t>
      </w:r>
      <w:r w:rsidR="008C0867">
        <w:t xml:space="preserve"> of the procurement procedure,</w:t>
      </w:r>
      <w:r w:rsidR="008C0867">
        <w:rPr>
          <w:rFonts w:asciiTheme="minorHAnsi" w:hAnsiTheme="minorHAnsi"/>
        </w:rPr>
        <w:t xml:space="preserve"> the tenderer </w:t>
      </w:r>
      <w:r w:rsidR="008C0867" w:rsidRPr="00E45C74">
        <w:rPr>
          <w:rFonts w:asciiTheme="minorHAnsi" w:hAnsiTheme="minorHAnsi"/>
        </w:rPr>
        <w:t xml:space="preserve">provided </w:t>
      </w:r>
      <w:r w:rsidR="008C0867" w:rsidRPr="00E45C74">
        <w:rPr>
          <w:b/>
        </w:rPr>
        <w:t>at least 1</w:t>
      </w:r>
      <w:r w:rsidR="000F7CBD" w:rsidRPr="00E45C74">
        <w:rPr>
          <w:b/>
        </w:rPr>
        <w:t xml:space="preserve"> significant</w:t>
      </w:r>
      <w:r w:rsidR="00E45C74">
        <w:rPr>
          <w:b/>
        </w:rPr>
        <w:t xml:space="preserve"> </w:t>
      </w:r>
      <w:proofErr w:type="gramStart"/>
      <w:r w:rsidR="001B5460" w:rsidRPr="00E45C74">
        <w:rPr>
          <w:b/>
        </w:rPr>
        <w:t>deliver</w:t>
      </w:r>
      <w:r w:rsidR="00E45C74">
        <w:rPr>
          <w:b/>
        </w:rPr>
        <w:t>y</w:t>
      </w:r>
      <w:r w:rsidR="008C0867" w:rsidRPr="00E45C74">
        <w:rPr>
          <w:b/>
        </w:rPr>
        <w:t>;</w:t>
      </w:r>
      <w:proofErr w:type="gramEnd"/>
    </w:p>
    <w:p w14:paraId="3C1FDAEB" w14:textId="4AEDD10D" w:rsidR="008C0867" w:rsidRPr="002224CD" w:rsidRDefault="008C0867" w:rsidP="008C0867">
      <w:pPr>
        <w:pStyle w:val="3seznam"/>
        <w:numPr>
          <w:ilvl w:val="2"/>
          <w:numId w:val="4"/>
        </w:numPr>
        <w:rPr>
          <w:rFonts w:cs="Calibri"/>
          <w:b/>
          <w:bCs/>
        </w:rPr>
      </w:pPr>
      <w:r>
        <w:t xml:space="preserve">The significant </w:t>
      </w:r>
      <w:r w:rsidR="001B5460">
        <w:t xml:space="preserve">delivery </w:t>
      </w:r>
      <w:r>
        <w:t xml:space="preserve">consisted in </w:t>
      </w:r>
      <w:r w:rsidR="0069025D">
        <w:t xml:space="preserve">the </w:t>
      </w:r>
      <w:r>
        <w:rPr>
          <w:b/>
        </w:rPr>
        <w:t xml:space="preserve">supply of </w:t>
      </w:r>
      <w:r w:rsidR="0069025D">
        <w:rPr>
          <w:b/>
        </w:rPr>
        <w:t xml:space="preserve">a </w:t>
      </w:r>
      <w:r>
        <w:rPr>
          <w:b/>
        </w:rPr>
        <w:t>similar performance as the subject of performance of the public contract, serving for a similar purpose to that of the subject of performance of the public contract, that is</w:t>
      </w:r>
      <w:r w:rsidRPr="002224CD">
        <w:rPr>
          <w:b/>
        </w:rPr>
        <w:t xml:space="preserve">, </w:t>
      </w:r>
      <w:r w:rsidR="0069025D" w:rsidRPr="002224CD">
        <w:rPr>
          <w:b/>
        </w:rPr>
        <w:t xml:space="preserve">the </w:t>
      </w:r>
      <w:r w:rsidRPr="002224CD">
        <w:rPr>
          <w:b/>
        </w:rPr>
        <w:t>supply of a high-resolution respirometer;</w:t>
      </w:r>
    </w:p>
    <w:p w14:paraId="390F70D9" w14:textId="56625912" w:rsidR="008C0867" w:rsidRPr="007826E3" w:rsidRDefault="008C0867" w:rsidP="008C0867">
      <w:pPr>
        <w:pStyle w:val="3seznam"/>
        <w:numPr>
          <w:ilvl w:val="2"/>
          <w:numId w:val="4"/>
        </w:numPr>
        <w:rPr>
          <w:rFonts w:cs="Calibri"/>
          <w:b/>
        </w:rPr>
      </w:pPr>
      <w:r w:rsidRPr="002224CD">
        <w:t>The</w:t>
      </w:r>
      <w:r w:rsidR="000F7CBD" w:rsidRPr="002224CD">
        <w:t xml:space="preserve"> </w:t>
      </w:r>
      <w:r w:rsidRPr="002224CD">
        <w:rPr>
          <w:b/>
        </w:rPr>
        <w:t>financial value</w:t>
      </w:r>
      <w:r w:rsidRPr="002224CD">
        <w:t xml:space="preserve"> of the significant </w:t>
      </w:r>
      <w:r w:rsidR="001B5460" w:rsidRPr="002224CD">
        <w:t>deliveries</w:t>
      </w:r>
      <w:r w:rsidRPr="002224CD">
        <w:t xml:space="preserve"> under the previous paragraph</w:t>
      </w:r>
      <w:r w:rsidRPr="002224CD">
        <w:rPr>
          <w:b/>
        </w:rPr>
        <w:t xml:space="preserve"> was at least CZK </w:t>
      </w:r>
      <w:r w:rsidR="002224CD" w:rsidRPr="002224CD">
        <w:rPr>
          <w:b/>
        </w:rPr>
        <w:t>1,250</w:t>
      </w:r>
      <w:r w:rsidRPr="002224CD">
        <w:rPr>
          <w:b/>
        </w:rPr>
        <w:t>,000.00 excluding VAT</w:t>
      </w:r>
      <w:r w:rsidRPr="002224CD">
        <w:t xml:space="preserve"> </w:t>
      </w:r>
      <w:r w:rsidRPr="002224CD">
        <w:rPr>
          <w:b/>
        </w:rPr>
        <w:t xml:space="preserve">per 1 significant </w:t>
      </w:r>
      <w:r w:rsidR="001B5460" w:rsidRPr="002224CD">
        <w:rPr>
          <w:b/>
        </w:rPr>
        <w:t>delivery</w:t>
      </w:r>
      <w:r>
        <w:rPr>
          <w:b/>
        </w:rPr>
        <w:t>.</w:t>
      </w:r>
    </w:p>
    <w:p w14:paraId="58446557" w14:textId="77777777" w:rsidR="000F7CBD" w:rsidRDefault="000F7CBD" w:rsidP="00767265">
      <w:pPr>
        <w:pStyle w:val="3seznam"/>
        <w:numPr>
          <w:ilvl w:val="0"/>
          <w:numId w:val="0"/>
        </w:numPr>
      </w:pPr>
    </w:p>
    <w:p w14:paraId="625863BB" w14:textId="0EB3283F" w:rsidR="00767265" w:rsidRDefault="00A66478" w:rsidP="00767265">
      <w:pPr>
        <w:pStyle w:val="3seznam"/>
        <w:numPr>
          <w:ilvl w:val="0"/>
          <w:numId w:val="0"/>
        </w:numPr>
        <w:rPr>
          <w:highlight w:val="yellow"/>
        </w:rPr>
      </w:pPr>
      <w:r>
        <w:t xml:space="preserve">In </w:t>
      </w:r>
      <w:r w:rsidR="0025009E" w:rsidRPr="009D5CD6">
        <w:rPr>
          <w:highlight w:val="yellow"/>
        </w:rPr>
        <w:fldChar w:fldCharType="begin"/>
      </w:r>
      <w:r w:rsidRPr="009D5CD6">
        <w:rPr>
          <w:highlight w:val="yellow"/>
        </w:rPr>
        <w:instrText xml:space="preserve"> MACROBUTTON  AkcentČárka “[Place – to be filled in by the tenderer]” </w:instrText>
      </w:r>
      <w:r w:rsidR="0025009E" w:rsidRPr="009D5CD6">
        <w:rPr>
          <w:highlight w:val="yellow"/>
        </w:rPr>
        <w:fldChar w:fldCharType="end"/>
      </w:r>
      <w:r>
        <w:t xml:space="preserve"> on </w:t>
      </w:r>
      <w:r w:rsidR="0025009E" w:rsidRPr="009D5CD6">
        <w:rPr>
          <w:highlight w:val="yellow"/>
        </w:rPr>
        <w:fldChar w:fldCharType="begin"/>
      </w:r>
      <w:r w:rsidRPr="009D5CD6">
        <w:rPr>
          <w:highlight w:val="yellow"/>
        </w:rPr>
        <w:instrText xml:space="preserve"> MACROBUTTON  AkcentČárka “[Date – to be filled in by the tenderer]” </w:instrText>
      </w:r>
      <w:r w:rsidR="0025009E" w:rsidRPr="009D5CD6">
        <w:rPr>
          <w:highlight w:val="yellow"/>
        </w:rPr>
        <w:fldChar w:fldCharType="end"/>
      </w:r>
    </w:p>
    <w:p w14:paraId="4A2745BD" w14:textId="4E81FC37" w:rsidR="00767265" w:rsidRDefault="0025009E" w:rsidP="00767265">
      <w:pPr>
        <w:pStyle w:val="3seznam"/>
        <w:numPr>
          <w:ilvl w:val="0"/>
          <w:numId w:val="0"/>
        </w:numPr>
        <w:rPr>
          <w:highlight w:val="yellow"/>
        </w:rPr>
      </w:pPr>
      <w:r w:rsidRPr="00017462">
        <w:rPr>
          <w:highlight w:val="yellow"/>
        </w:rPr>
        <w:fldChar w:fldCharType="begin"/>
      </w:r>
      <w:r w:rsidR="00A66478" w:rsidRPr="00017462">
        <w:rPr>
          <w:highlight w:val="yellow"/>
        </w:rPr>
        <w:instrText xml:space="preserve"> MACROBUTTON  AkcentČárka “[Tenderer’s name – to be filled in by the tenderer]” </w:instrText>
      </w:r>
      <w:r w:rsidRPr="00017462">
        <w:rPr>
          <w:highlight w:val="yellow"/>
        </w:rPr>
        <w:fldChar w:fldCharType="end"/>
      </w:r>
    </w:p>
    <w:p w14:paraId="40678F6B" w14:textId="318B8A46" w:rsidR="00767265" w:rsidRDefault="0025009E" w:rsidP="00767265">
      <w:pPr>
        <w:pStyle w:val="3seznam"/>
        <w:numPr>
          <w:ilvl w:val="0"/>
          <w:numId w:val="0"/>
        </w:numPr>
      </w:pPr>
      <w:r w:rsidRPr="00017462">
        <w:rPr>
          <w:highlight w:val="yellow"/>
        </w:rPr>
        <w:lastRenderedPageBreak/>
        <w:fldChar w:fldCharType="begin"/>
      </w:r>
      <w:r w:rsidR="00A66478" w:rsidRPr="00017462">
        <w:rPr>
          <w:highlight w:val="yellow"/>
        </w:rPr>
        <w:instrText xml:space="preserve"> MACROBUTTON  AkcentČárka “[Name an position of the person authorised to represent the tenderer – to be filled in by the tenderer]” </w:instrText>
      </w:r>
      <w:r w:rsidRPr="00017462">
        <w:rPr>
          <w:highlight w:val="yellow"/>
        </w:rPr>
        <w:fldChar w:fldCharType="end"/>
      </w:r>
    </w:p>
    <w:p w14:paraId="578EE3A0" w14:textId="77777777" w:rsidR="00E33EBD" w:rsidRDefault="00E33EBD" w:rsidP="00767265">
      <w:pPr>
        <w:pStyle w:val="3seznam"/>
        <w:numPr>
          <w:ilvl w:val="0"/>
          <w:numId w:val="0"/>
        </w:numPr>
        <w:rPr>
          <w:lang w:bidi="en-US"/>
        </w:rPr>
      </w:pPr>
    </w:p>
    <w:p w14:paraId="6C47E84C" w14:textId="5FF5CA9E" w:rsidR="00A66478" w:rsidRPr="000F6ACF" w:rsidRDefault="00A66478" w:rsidP="00767265">
      <w:pPr>
        <w:pStyle w:val="3seznam"/>
        <w:numPr>
          <w:ilvl w:val="0"/>
          <w:numId w:val="0"/>
        </w:numPr>
      </w:pPr>
      <w:r>
        <w:t>…………………………………………………..</w:t>
      </w:r>
    </w:p>
    <w:p w14:paraId="1DA7AD50" w14:textId="77777777" w:rsidR="00A66478" w:rsidRPr="000F6ACF" w:rsidRDefault="00A66478" w:rsidP="00A66478">
      <w:pPr>
        <w:pStyle w:val="2nesltext"/>
        <w:keepNext/>
      </w:pPr>
      <w:r>
        <w:rPr>
          <w:i/>
        </w:rPr>
        <w:t>(signature)</w:t>
      </w:r>
    </w:p>
    <w:sectPr w:rsidR="00A66478" w:rsidRPr="000F6ACF" w:rsidSect="00432EE5">
      <w:footerReference w:type="even" r:id="rId10"/>
      <w:footerReference w:type="default" r:id="rId11"/>
      <w:footerReference w:type="first" r:id="rId12"/>
      <w:type w:val="continuous"/>
      <w:pgSz w:w="11906" w:h="16838" w:code="9"/>
      <w:pgMar w:top="1418" w:right="1417" w:bottom="1560" w:left="1417"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373C4" w14:textId="77777777" w:rsidR="00FF0BE5" w:rsidRDefault="00FF0BE5">
      <w:pPr>
        <w:spacing w:after="0" w:line="240" w:lineRule="auto"/>
      </w:pPr>
      <w:r>
        <w:separator/>
      </w:r>
    </w:p>
  </w:endnote>
  <w:endnote w:type="continuationSeparator" w:id="0">
    <w:p w14:paraId="2C7E810A" w14:textId="77777777" w:rsidR="00FF0BE5" w:rsidRDefault="00FF0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6284" w14:textId="1808B1B1" w:rsidR="002512C7" w:rsidRDefault="0025009E"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A4313C">
      <w:rPr>
        <w:rStyle w:val="slostrnky"/>
      </w:rPr>
      <w:t>1</w:t>
    </w:r>
    <w:r>
      <w:rPr>
        <w:rStyle w:val="slostrnky"/>
      </w:rPr>
      <w:fldChar w:fldCharType="end"/>
    </w:r>
  </w:p>
  <w:p w14:paraId="680E283C"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168CC" w14:textId="4C1B81EE" w:rsidR="002512C7" w:rsidRPr="00DC6B91" w:rsidRDefault="001B5460" w:rsidP="00D95EA6">
    <w:pPr>
      <w:pStyle w:val="Zpat"/>
      <w:rPr>
        <w:rFonts w:asciiTheme="minorHAnsi" w:hAnsiTheme="minorHAnsi" w:cstheme="minorHAnsi"/>
        <w:sz w:val="22"/>
        <w:szCs w:val="22"/>
      </w:rPr>
    </w:pPr>
    <w:r>
      <w:rPr>
        <w:rFonts w:ascii="Calibri" w:hAnsi="Calibri"/>
        <w:sz w:val="22"/>
      </w:rPr>
      <w:t>Procurement</w:t>
    </w:r>
    <w:r w:rsidR="00645AC6">
      <w:rPr>
        <w:rFonts w:ascii="Calibri" w:hAnsi="Calibri"/>
        <w:sz w:val="22"/>
      </w:rPr>
      <w:t xml:space="preserve"> Documentation</w:t>
    </w:r>
    <w:r w:rsidR="00645AC6">
      <w:rPr>
        <w:rFonts w:ascii="Calibri" w:hAnsi="Calibri"/>
        <w:b/>
        <w:sz w:val="22"/>
      </w:rPr>
      <w:t xml:space="preserve"> </w:t>
    </w:r>
    <w:r w:rsidR="00645AC6">
      <w:rPr>
        <w:rFonts w:ascii="Calibri" w:hAnsi="Calibri"/>
        <w:sz w:val="22"/>
      </w:rPr>
      <w:t>– Annex 2</w:t>
    </w:r>
    <w:r w:rsidR="00645AC6">
      <w:rPr>
        <w:rFonts w:ascii="Calibri" w:hAnsi="Calibri"/>
        <w:sz w:val="22"/>
      </w:rPr>
      <w:tab/>
      <w:t xml:space="preserve"> </w:t>
    </w:r>
    <w:r w:rsidR="00645AC6">
      <w:rPr>
        <w:rFonts w:ascii="Calibri" w:hAnsi="Calibri"/>
        <w:sz w:val="22"/>
      </w:rPr>
      <w:tab/>
    </w:r>
    <w:r w:rsidR="00645AC6">
      <w:rPr>
        <w:rFonts w:asciiTheme="minorHAnsi" w:hAnsiTheme="minorHAnsi"/>
        <w:sz w:val="22"/>
      </w:rPr>
      <w:t xml:space="preserve">Page </w:t>
    </w:r>
    <w:r w:rsidR="0025009E" w:rsidRPr="00DC6B91">
      <w:rPr>
        <w:rFonts w:asciiTheme="minorHAnsi" w:hAnsiTheme="minorHAnsi" w:cstheme="minorHAnsi"/>
        <w:b/>
        <w:sz w:val="22"/>
      </w:rPr>
      <w:fldChar w:fldCharType="begin"/>
    </w:r>
    <w:r w:rsidR="002512C7" w:rsidRPr="00DC6B91">
      <w:rPr>
        <w:rFonts w:asciiTheme="minorHAnsi" w:hAnsiTheme="minorHAnsi" w:cstheme="minorHAnsi"/>
        <w:b/>
        <w:sz w:val="22"/>
      </w:rPr>
      <w:instrText>PAGE</w:instrText>
    </w:r>
    <w:r w:rsidR="0025009E" w:rsidRPr="00DC6B91">
      <w:rPr>
        <w:rFonts w:asciiTheme="minorHAnsi" w:hAnsiTheme="minorHAnsi" w:cstheme="minorHAnsi"/>
        <w:b/>
        <w:sz w:val="22"/>
      </w:rPr>
      <w:fldChar w:fldCharType="separate"/>
    </w:r>
    <w:r w:rsidR="00F878BD">
      <w:rPr>
        <w:rFonts w:asciiTheme="minorHAnsi" w:hAnsiTheme="minorHAnsi" w:cstheme="minorHAnsi"/>
        <w:b/>
        <w:sz w:val="22"/>
      </w:rPr>
      <w:t>2</w:t>
    </w:r>
    <w:r w:rsidR="0025009E" w:rsidRPr="00DC6B91">
      <w:rPr>
        <w:rFonts w:asciiTheme="minorHAnsi" w:hAnsiTheme="minorHAnsi" w:cstheme="minorHAnsi"/>
        <w:b/>
        <w:sz w:val="22"/>
      </w:rPr>
      <w:fldChar w:fldCharType="end"/>
    </w:r>
    <w:r w:rsidR="00645AC6">
      <w:rPr>
        <w:rFonts w:asciiTheme="minorHAnsi" w:hAnsiTheme="minorHAnsi"/>
        <w:sz w:val="22"/>
      </w:rPr>
      <w:t xml:space="preserve"> out of </w:t>
    </w:r>
    <w:r w:rsidR="0025009E" w:rsidRPr="00DC6B91">
      <w:rPr>
        <w:rFonts w:asciiTheme="minorHAnsi" w:hAnsiTheme="minorHAnsi" w:cstheme="minorHAnsi"/>
        <w:b/>
        <w:sz w:val="22"/>
      </w:rPr>
      <w:fldChar w:fldCharType="begin"/>
    </w:r>
    <w:r w:rsidR="002512C7" w:rsidRPr="00DC6B91">
      <w:rPr>
        <w:rFonts w:asciiTheme="minorHAnsi" w:hAnsiTheme="minorHAnsi" w:cstheme="minorHAnsi"/>
        <w:b/>
        <w:sz w:val="22"/>
      </w:rPr>
      <w:instrText>NUMPAGES</w:instrText>
    </w:r>
    <w:r w:rsidR="0025009E" w:rsidRPr="00DC6B91">
      <w:rPr>
        <w:rFonts w:asciiTheme="minorHAnsi" w:hAnsiTheme="minorHAnsi" w:cstheme="minorHAnsi"/>
        <w:b/>
        <w:sz w:val="22"/>
      </w:rPr>
      <w:fldChar w:fldCharType="separate"/>
    </w:r>
    <w:r w:rsidR="00F878BD">
      <w:rPr>
        <w:rFonts w:asciiTheme="minorHAnsi" w:hAnsiTheme="minorHAnsi" w:cstheme="minorHAnsi"/>
        <w:b/>
        <w:sz w:val="22"/>
      </w:rPr>
      <w:t>3</w:t>
    </w:r>
    <w:r w:rsidR="0025009E" w:rsidRPr="00DC6B91">
      <w:rPr>
        <w:rFonts w:asciiTheme="minorHAnsi" w:hAnsiTheme="minorHAnsi" w:cstheme="minorHAnsi"/>
        <w:b/>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6501F" w14:textId="79EF1908" w:rsidR="002512C7" w:rsidRPr="00511BEF" w:rsidRDefault="002512C7" w:rsidP="004F2255">
    <w:pPr>
      <w:pStyle w:val="Zpat"/>
      <w:rPr>
        <w:sz w:val="22"/>
        <w:szCs w:val="22"/>
      </w:rPr>
    </w:pPr>
    <w:r>
      <w:rPr>
        <w:sz w:val="22"/>
      </w:rPr>
      <w:t>Tender Documentation NEMZN</w:t>
    </w:r>
    <w:r>
      <w:rPr>
        <w:color w:val="FF0000"/>
        <w:sz w:val="22"/>
      </w:rPr>
      <w:t xml:space="preserve">XXXX </w:t>
    </w:r>
    <w:r>
      <w:rPr>
        <w:sz w:val="22"/>
      </w:rPr>
      <w:t>– Annex 3</w:t>
    </w:r>
    <w:r>
      <w:rPr>
        <w:sz w:val="22"/>
      </w:rPr>
      <w:tab/>
      <w:t xml:space="preserve">Page </w:t>
    </w:r>
    <w:r w:rsidR="0025009E" w:rsidRPr="00511BEF">
      <w:rPr>
        <w:b/>
        <w:sz w:val="22"/>
      </w:rPr>
      <w:fldChar w:fldCharType="begin"/>
    </w:r>
    <w:r w:rsidRPr="00511BEF">
      <w:rPr>
        <w:b/>
        <w:sz w:val="22"/>
      </w:rPr>
      <w:instrText>PAGE</w:instrText>
    </w:r>
    <w:r w:rsidR="0025009E" w:rsidRPr="00511BEF">
      <w:rPr>
        <w:b/>
        <w:sz w:val="22"/>
      </w:rPr>
      <w:fldChar w:fldCharType="separate"/>
    </w:r>
    <w:r>
      <w:rPr>
        <w:b/>
        <w:sz w:val="22"/>
      </w:rPr>
      <w:t>1</w:t>
    </w:r>
    <w:r w:rsidR="0025009E" w:rsidRPr="00511BEF">
      <w:rPr>
        <w:b/>
        <w:sz w:val="22"/>
      </w:rPr>
      <w:fldChar w:fldCharType="end"/>
    </w:r>
    <w:r>
      <w:rPr>
        <w:sz w:val="22"/>
      </w:rPr>
      <w:t xml:space="preserve"> out of </w:t>
    </w:r>
    <w:r w:rsidR="0025009E" w:rsidRPr="00511BEF">
      <w:rPr>
        <w:b/>
        <w:sz w:val="22"/>
      </w:rPr>
      <w:fldChar w:fldCharType="begin"/>
    </w:r>
    <w:r w:rsidRPr="00511BEF">
      <w:rPr>
        <w:b/>
        <w:sz w:val="22"/>
      </w:rPr>
      <w:instrText>NUMPAGES</w:instrText>
    </w:r>
    <w:r w:rsidR="0025009E" w:rsidRPr="00511BEF">
      <w:rPr>
        <w:b/>
        <w:sz w:val="22"/>
      </w:rPr>
      <w:fldChar w:fldCharType="separate"/>
    </w:r>
    <w:r w:rsidR="00FC1799">
      <w:rPr>
        <w:b/>
        <w:sz w:val="22"/>
      </w:rPr>
      <w:t>3</w:t>
    </w:r>
    <w:r w:rsidR="0025009E" w:rsidRPr="00511BEF">
      <w:rPr>
        <w:b/>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43E20" w14:textId="77777777" w:rsidR="00FF0BE5" w:rsidRDefault="00FF0BE5">
      <w:pPr>
        <w:spacing w:after="0" w:line="240" w:lineRule="auto"/>
      </w:pPr>
      <w:r>
        <w:separator/>
      </w:r>
    </w:p>
  </w:footnote>
  <w:footnote w:type="continuationSeparator" w:id="0">
    <w:p w14:paraId="7D67BB3E" w14:textId="77777777" w:rsidR="00FF0BE5" w:rsidRDefault="00FF0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AAF"/>
    <w:multiLevelType w:val="multilevel"/>
    <w:tmpl w:val="C4F694D0"/>
    <w:lvl w:ilvl="0">
      <w:start w:val="1"/>
      <w:numFmt w:val="decimal"/>
      <w:lvlText w:val="%1"/>
      <w:lvlJc w:val="left"/>
      <w:pPr>
        <w:ind w:left="432" w:hanging="432"/>
      </w:pPr>
    </w:lvl>
    <w:lvl w:ilvl="1">
      <w:start w:val="1"/>
      <w:numFmt w:val="decimal"/>
      <w:pStyle w:val="Nadpis2"/>
      <w:lvlText w:val="%1.%2"/>
      <w:lvlJc w:val="left"/>
      <w:pPr>
        <w:ind w:left="576" w:hanging="576"/>
      </w:pPr>
      <w:rPr>
        <w:b w:val="0"/>
        <w:color w:val="auto"/>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2D487115"/>
    <w:multiLevelType w:val="hybridMultilevel"/>
    <w:tmpl w:val="BEF090E0"/>
    <w:lvl w:ilvl="0" w:tplc="92AAEA14">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3DA5200D"/>
    <w:multiLevelType w:val="multilevel"/>
    <w:tmpl w:val="67BC29E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i w:val="0"/>
        <w:i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A8A1C17"/>
    <w:multiLevelType w:val="hybridMultilevel"/>
    <w:tmpl w:val="46A4997E"/>
    <w:lvl w:ilvl="0" w:tplc="3A5098B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5C0275B0"/>
    <w:multiLevelType w:val="hybridMultilevel"/>
    <w:tmpl w:val="2C320078"/>
    <w:lvl w:ilvl="0" w:tplc="6C067D50">
      <w:start w:val="1"/>
      <w:numFmt w:val="low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9A1725"/>
    <w:multiLevelType w:val="hybridMultilevel"/>
    <w:tmpl w:val="51081322"/>
    <w:lvl w:ilvl="0" w:tplc="5990690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68C3453A"/>
    <w:multiLevelType w:val="multilevel"/>
    <w:tmpl w:val="2AF20828"/>
    <w:lvl w:ilvl="0">
      <w:start w:val="1"/>
      <w:numFmt w:val="decimal"/>
      <w:pStyle w:val="Nadpis1"/>
      <w:lvlText w:val="%1."/>
      <w:lvlJc w:val="left"/>
      <w:pPr>
        <w:ind w:left="720" w:hanging="360"/>
      </w:pPr>
      <w:rPr>
        <w:rFonts w:ascii="Calibri" w:hAnsi="Calibri" w:cs="Calibri" w:hint="default"/>
      </w:rPr>
    </w:lvl>
    <w:lvl w:ilvl="1">
      <w:start w:val="1"/>
      <w:numFmt w:val="decimal"/>
      <w:isLgl/>
      <w:lvlText w:val="%1.%2"/>
      <w:lvlJc w:val="left"/>
      <w:pPr>
        <w:ind w:left="720" w:hanging="360"/>
      </w:pPr>
      <w:rPr>
        <w:rFonts w:ascii="Calibri" w:hAnsi="Calibri" w:cs="Calibri" w:hint="default"/>
        <w:b w:val="0"/>
        <w:color w:val="000000"/>
        <w:u w:val="none"/>
      </w:rPr>
    </w:lvl>
    <w:lvl w:ilvl="2">
      <w:start w:val="1"/>
      <w:numFmt w:val="decimal"/>
      <w:isLgl/>
      <w:lvlText w:val="%1.%2.%3"/>
      <w:lvlJc w:val="left"/>
      <w:pPr>
        <w:ind w:left="1080" w:hanging="720"/>
      </w:pPr>
      <w:rPr>
        <w:rFonts w:hint="default"/>
        <w:color w:val="000000"/>
        <w:u w:val="none"/>
      </w:rPr>
    </w:lvl>
    <w:lvl w:ilvl="3">
      <w:start w:val="1"/>
      <w:numFmt w:val="decimal"/>
      <w:isLgl/>
      <w:lvlText w:val="%1.%2.%3.%4"/>
      <w:lvlJc w:val="left"/>
      <w:pPr>
        <w:ind w:left="1080" w:hanging="720"/>
      </w:pPr>
      <w:rPr>
        <w:rFonts w:hint="default"/>
        <w:color w:val="000000"/>
        <w:u w:val="none"/>
      </w:rPr>
    </w:lvl>
    <w:lvl w:ilvl="4">
      <w:start w:val="1"/>
      <w:numFmt w:val="decimal"/>
      <w:isLgl/>
      <w:lvlText w:val="%1.%2.%3.%4.%5"/>
      <w:lvlJc w:val="left"/>
      <w:pPr>
        <w:ind w:left="1440" w:hanging="1080"/>
      </w:pPr>
      <w:rPr>
        <w:rFonts w:hint="default"/>
        <w:color w:val="000000"/>
        <w:u w:val="none"/>
      </w:rPr>
    </w:lvl>
    <w:lvl w:ilvl="5">
      <w:start w:val="1"/>
      <w:numFmt w:val="decimal"/>
      <w:isLgl/>
      <w:lvlText w:val="%1.%2.%3.%4.%5.%6"/>
      <w:lvlJc w:val="left"/>
      <w:pPr>
        <w:ind w:left="1440" w:hanging="1080"/>
      </w:pPr>
      <w:rPr>
        <w:rFonts w:hint="default"/>
        <w:color w:val="000000"/>
        <w:u w:val="none"/>
      </w:rPr>
    </w:lvl>
    <w:lvl w:ilvl="6">
      <w:start w:val="1"/>
      <w:numFmt w:val="decimal"/>
      <w:isLgl/>
      <w:lvlText w:val="%1.%2.%3.%4.%5.%6.%7"/>
      <w:lvlJc w:val="left"/>
      <w:pPr>
        <w:ind w:left="1800" w:hanging="1440"/>
      </w:pPr>
      <w:rPr>
        <w:rFonts w:hint="default"/>
        <w:color w:val="000000"/>
        <w:u w:val="none"/>
      </w:rPr>
    </w:lvl>
    <w:lvl w:ilvl="7">
      <w:start w:val="1"/>
      <w:numFmt w:val="decimal"/>
      <w:isLgl/>
      <w:lvlText w:val="%1.%2.%3.%4.%5.%6.%7.%8"/>
      <w:lvlJc w:val="left"/>
      <w:pPr>
        <w:ind w:left="1800" w:hanging="1440"/>
      </w:pPr>
      <w:rPr>
        <w:rFonts w:hint="default"/>
        <w:color w:val="000000"/>
        <w:u w:val="none"/>
      </w:rPr>
    </w:lvl>
    <w:lvl w:ilvl="8">
      <w:start w:val="1"/>
      <w:numFmt w:val="decimal"/>
      <w:isLgl/>
      <w:lvlText w:val="%1.%2.%3.%4.%5.%6.%7.%8.%9"/>
      <w:lvlJc w:val="left"/>
      <w:pPr>
        <w:ind w:left="1800" w:hanging="1440"/>
      </w:pPr>
      <w:rPr>
        <w:rFonts w:hint="default"/>
        <w:color w:val="000000"/>
        <w:u w:val="none"/>
      </w:rPr>
    </w:lvl>
  </w:abstractNum>
  <w:abstractNum w:abstractNumId="7"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474106461">
    <w:abstractNumId w:val="2"/>
  </w:num>
  <w:num w:numId="2" w16cid:durableId="432673768">
    <w:abstractNumId w:val="7"/>
  </w:num>
  <w:num w:numId="3" w16cid:durableId="220337275">
    <w:abstractNumId w:val="2"/>
  </w:num>
  <w:num w:numId="4" w16cid:durableId="3536579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20630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68890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6072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5230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4646491">
    <w:abstractNumId w:val="0"/>
  </w:num>
  <w:num w:numId="10" w16cid:durableId="600642924">
    <w:abstractNumId w:val="6"/>
  </w:num>
  <w:num w:numId="11" w16cid:durableId="413934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3815687">
    <w:abstractNumId w:val="2"/>
  </w:num>
  <w:num w:numId="13" w16cid:durableId="15148799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157683">
    <w:abstractNumId w:val="5"/>
  </w:num>
  <w:num w:numId="15" w16cid:durableId="1561940834">
    <w:abstractNumId w:val="2"/>
  </w:num>
  <w:num w:numId="16" w16cid:durableId="406734546">
    <w:abstractNumId w:val="4"/>
  </w:num>
  <w:num w:numId="17" w16cid:durableId="1092815901">
    <w:abstractNumId w:val="1"/>
  </w:num>
  <w:num w:numId="18" w16cid:durableId="1407727098">
    <w:abstractNumId w:val="3"/>
  </w:num>
  <w:num w:numId="19" w16cid:durableId="1069039595">
    <w:abstractNumId w:val="2"/>
    <w:lvlOverride w:ilvl="0">
      <w:startOverride w:val="1"/>
    </w:lvlOverride>
    <w:lvlOverride w:ilvl="1">
      <w:startOverride w:val="1"/>
    </w:lvlOverride>
    <w:lvlOverride w:ilvl="2">
      <w:startOverride w:val="1"/>
    </w:lvlOverride>
  </w:num>
  <w:num w:numId="20" w16cid:durableId="1206142072">
    <w:abstractNumId w:val="2"/>
  </w:num>
  <w:num w:numId="21" w16cid:durableId="1253583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3057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09688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8467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7146"/>
    <w:rsid w:val="00007AFD"/>
    <w:rsid w:val="0001443A"/>
    <w:rsid w:val="00017462"/>
    <w:rsid w:val="00017B6F"/>
    <w:rsid w:val="00021C60"/>
    <w:rsid w:val="0002214E"/>
    <w:rsid w:val="00023856"/>
    <w:rsid w:val="00032137"/>
    <w:rsid w:val="00046952"/>
    <w:rsid w:val="00046FF4"/>
    <w:rsid w:val="00053DC6"/>
    <w:rsid w:val="00056FB8"/>
    <w:rsid w:val="00061244"/>
    <w:rsid w:val="00091390"/>
    <w:rsid w:val="00091F88"/>
    <w:rsid w:val="00092ABC"/>
    <w:rsid w:val="000B277D"/>
    <w:rsid w:val="000D3F57"/>
    <w:rsid w:val="000D70F6"/>
    <w:rsid w:val="000D714C"/>
    <w:rsid w:val="000D7FE9"/>
    <w:rsid w:val="000E609F"/>
    <w:rsid w:val="000F084C"/>
    <w:rsid w:val="000F3260"/>
    <w:rsid w:val="000F7CBD"/>
    <w:rsid w:val="00104AB9"/>
    <w:rsid w:val="00110DE4"/>
    <w:rsid w:val="00117B31"/>
    <w:rsid w:val="001273ED"/>
    <w:rsid w:val="00133D12"/>
    <w:rsid w:val="00155411"/>
    <w:rsid w:val="00166A57"/>
    <w:rsid w:val="00167BFF"/>
    <w:rsid w:val="00175D92"/>
    <w:rsid w:val="00177883"/>
    <w:rsid w:val="00180B8E"/>
    <w:rsid w:val="00185E09"/>
    <w:rsid w:val="00187880"/>
    <w:rsid w:val="001B5460"/>
    <w:rsid w:val="001D2FBE"/>
    <w:rsid w:val="001D3094"/>
    <w:rsid w:val="001D7B66"/>
    <w:rsid w:val="001E1E51"/>
    <w:rsid w:val="001E4D1F"/>
    <w:rsid w:val="001F6512"/>
    <w:rsid w:val="00203F17"/>
    <w:rsid w:val="002224CD"/>
    <w:rsid w:val="002248D8"/>
    <w:rsid w:val="00232409"/>
    <w:rsid w:val="0023363D"/>
    <w:rsid w:val="00234DD5"/>
    <w:rsid w:val="00237110"/>
    <w:rsid w:val="00246639"/>
    <w:rsid w:val="0025009E"/>
    <w:rsid w:val="002512C7"/>
    <w:rsid w:val="002515E6"/>
    <w:rsid w:val="0026069C"/>
    <w:rsid w:val="00286A13"/>
    <w:rsid w:val="0028779F"/>
    <w:rsid w:val="00287B22"/>
    <w:rsid w:val="00297A2B"/>
    <w:rsid w:val="002B2AFA"/>
    <w:rsid w:val="00306491"/>
    <w:rsid w:val="003166A4"/>
    <w:rsid w:val="003279AB"/>
    <w:rsid w:val="00335412"/>
    <w:rsid w:val="00335AE8"/>
    <w:rsid w:val="00344F91"/>
    <w:rsid w:val="0035647A"/>
    <w:rsid w:val="00362B89"/>
    <w:rsid w:val="00364E5A"/>
    <w:rsid w:val="00365D21"/>
    <w:rsid w:val="00374DB7"/>
    <w:rsid w:val="00376263"/>
    <w:rsid w:val="00377EE5"/>
    <w:rsid w:val="0039722E"/>
    <w:rsid w:val="003972E6"/>
    <w:rsid w:val="003B0DA0"/>
    <w:rsid w:val="003E369A"/>
    <w:rsid w:val="003E6A29"/>
    <w:rsid w:val="003E6C58"/>
    <w:rsid w:val="003E7DE6"/>
    <w:rsid w:val="003F1A44"/>
    <w:rsid w:val="00417331"/>
    <w:rsid w:val="004265B4"/>
    <w:rsid w:val="00432EE5"/>
    <w:rsid w:val="0043350A"/>
    <w:rsid w:val="00455BA2"/>
    <w:rsid w:val="00455EAA"/>
    <w:rsid w:val="0047081F"/>
    <w:rsid w:val="00471789"/>
    <w:rsid w:val="00494BA3"/>
    <w:rsid w:val="004A0E72"/>
    <w:rsid w:val="004C4642"/>
    <w:rsid w:val="004C6C8A"/>
    <w:rsid w:val="004C7206"/>
    <w:rsid w:val="004D2ED5"/>
    <w:rsid w:val="004E2342"/>
    <w:rsid w:val="004E2FF2"/>
    <w:rsid w:val="004E7F13"/>
    <w:rsid w:val="00502BD7"/>
    <w:rsid w:val="00505288"/>
    <w:rsid w:val="00506177"/>
    <w:rsid w:val="00512C16"/>
    <w:rsid w:val="005216B7"/>
    <w:rsid w:val="00523A51"/>
    <w:rsid w:val="00532F80"/>
    <w:rsid w:val="00534A57"/>
    <w:rsid w:val="005379E8"/>
    <w:rsid w:val="005418E6"/>
    <w:rsid w:val="00552474"/>
    <w:rsid w:val="00554666"/>
    <w:rsid w:val="00557799"/>
    <w:rsid w:val="00560AAC"/>
    <w:rsid w:val="005712F8"/>
    <w:rsid w:val="00571956"/>
    <w:rsid w:val="0057240F"/>
    <w:rsid w:val="005761AA"/>
    <w:rsid w:val="00576B69"/>
    <w:rsid w:val="00580EC1"/>
    <w:rsid w:val="00587DC6"/>
    <w:rsid w:val="00591994"/>
    <w:rsid w:val="005A58A7"/>
    <w:rsid w:val="005A5A94"/>
    <w:rsid w:val="005B3501"/>
    <w:rsid w:val="005D11F6"/>
    <w:rsid w:val="005E0C78"/>
    <w:rsid w:val="005E6219"/>
    <w:rsid w:val="005F2E9C"/>
    <w:rsid w:val="0060116F"/>
    <w:rsid w:val="00603A30"/>
    <w:rsid w:val="006054EA"/>
    <w:rsid w:val="00614D8E"/>
    <w:rsid w:val="00620A12"/>
    <w:rsid w:val="00645AC6"/>
    <w:rsid w:val="00650D93"/>
    <w:rsid w:val="00661A6D"/>
    <w:rsid w:val="00664AEF"/>
    <w:rsid w:val="00671983"/>
    <w:rsid w:val="006854BA"/>
    <w:rsid w:val="0069025D"/>
    <w:rsid w:val="00693CB8"/>
    <w:rsid w:val="006A73F0"/>
    <w:rsid w:val="006B0C5A"/>
    <w:rsid w:val="006D61A0"/>
    <w:rsid w:val="006E1D6B"/>
    <w:rsid w:val="006E4777"/>
    <w:rsid w:val="006E6BFC"/>
    <w:rsid w:val="006F6657"/>
    <w:rsid w:val="00702572"/>
    <w:rsid w:val="007167F7"/>
    <w:rsid w:val="00727161"/>
    <w:rsid w:val="00736A4B"/>
    <w:rsid w:val="007413BB"/>
    <w:rsid w:val="0074659A"/>
    <w:rsid w:val="00747517"/>
    <w:rsid w:val="00747622"/>
    <w:rsid w:val="00767265"/>
    <w:rsid w:val="00772776"/>
    <w:rsid w:val="00774B60"/>
    <w:rsid w:val="00775A85"/>
    <w:rsid w:val="007826E3"/>
    <w:rsid w:val="00783601"/>
    <w:rsid w:val="00787394"/>
    <w:rsid w:val="007976C5"/>
    <w:rsid w:val="007A3A00"/>
    <w:rsid w:val="007D283C"/>
    <w:rsid w:val="007D4FBC"/>
    <w:rsid w:val="007E2635"/>
    <w:rsid w:val="007E62D1"/>
    <w:rsid w:val="007F13B4"/>
    <w:rsid w:val="007F1DE9"/>
    <w:rsid w:val="007F7544"/>
    <w:rsid w:val="007F7B37"/>
    <w:rsid w:val="008006E4"/>
    <w:rsid w:val="00807D77"/>
    <w:rsid w:val="0082042E"/>
    <w:rsid w:val="00823009"/>
    <w:rsid w:val="008414E7"/>
    <w:rsid w:val="008437E9"/>
    <w:rsid w:val="00846737"/>
    <w:rsid w:val="0085328A"/>
    <w:rsid w:val="0086290B"/>
    <w:rsid w:val="008751E4"/>
    <w:rsid w:val="0089084C"/>
    <w:rsid w:val="008951E7"/>
    <w:rsid w:val="008A05FF"/>
    <w:rsid w:val="008B651D"/>
    <w:rsid w:val="008C0867"/>
    <w:rsid w:val="008E4055"/>
    <w:rsid w:val="008F05C6"/>
    <w:rsid w:val="008F2876"/>
    <w:rsid w:val="008F5539"/>
    <w:rsid w:val="009244D2"/>
    <w:rsid w:val="00926CDF"/>
    <w:rsid w:val="00927B78"/>
    <w:rsid w:val="009404D9"/>
    <w:rsid w:val="009430C9"/>
    <w:rsid w:val="00972EE5"/>
    <w:rsid w:val="0097425D"/>
    <w:rsid w:val="00982910"/>
    <w:rsid w:val="00987AE2"/>
    <w:rsid w:val="00991DEA"/>
    <w:rsid w:val="009A1676"/>
    <w:rsid w:val="009A2074"/>
    <w:rsid w:val="009A3BEA"/>
    <w:rsid w:val="009A5874"/>
    <w:rsid w:val="009A74B3"/>
    <w:rsid w:val="009B688D"/>
    <w:rsid w:val="009D2510"/>
    <w:rsid w:val="009D3B48"/>
    <w:rsid w:val="009D5CD6"/>
    <w:rsid w:val="009F2460"/>
    <w:rsid w:val="00A17705"/>
    <w:rsid w:val="00A2007A"/>
    <w:rsid w:val="00A247BF"/>
    <w:rsid w:val="00A27E50"/>
    <w:rsid w:val="00A31124"/>
    <w:rsid w:val="00A42C89"/>
    <w:rsid w:val="00A4313C"/>
    <w:rsid w:val="00A475C5"/>
    <w:rsid w:val="00A66478"/>
    <w:rsid w:val="00A723D1"/>
    <w:rsid w:val="00A87BAB"/>
    <w:rsid w:val="00A90630"/>
    <w:rsid w:val="00AA1C13"/>
    <w:rsid w:val="00AA34AA"/>
    <w:rsid w:val="00AB60E3"/>
    <w:rsid w:val="00AD1D45"/>
    <w:rsid w:val="00AD23AC"/>
    <w:rsid w:val="00AE0B24"/>
    <w:rsid w:val="00AE54FE"/>
    <w:rsid w:val="00B07D45"/>
    <w:rsid w:val="00B20346"/>
    <w:rsid w:val="00B20C26"/>
    <w:rsid w:val="00B57324"/>
    <w:rsid w:val="00B75D96"/>
    <w:rsid w:val="00B87ADE"/>
    <w:rsid w:val="00B87F10"/>
    <w:rsid w:val="00B935D1"/>
    <w:rsid w:val="00B96CE7"/>
    <w:rsid w:val="00BA1E38"/>
    <w:rsid w:val="00BA2ADE"/>
    <w:rsid w:val="00BB024C"/>
    <w:rsid w:val="00BC11CE"/>
    <w:rsid w:val="00BE0C04"/>
    <w:rsid w:val="00BE2AAE"/>
    <w:rsid w:val="00C02DBF"/>
    <w:rsid w:val="00C141A6"/>
    <w:rsid w:val="00C1629E"/>
    <w:rsid w:val="00C22174"/>
    <w:rsid w:val="00C22C68"/>
    <w:rsid w:val="00C25200"/>
    <w:rsid w:val="00C3059B"/>
    <w:rsid w:val="00C32796"/>
    <w:rsid w:val="00C329B7"/>
    <w:rsid w:val="00C33BC0"/>
    <w:rsid w:val="00C35F45"/>
    <w:rsid w:val="00C36CD8"/>
    <w:rsid w:val="00C55230"/>
    <w:rsid w:val="00C57DA9"/>
    <w:rsid w:val="00C6348F"/>
    <w:rsid w:val="00C736FB"/>
    <w:rsid w:val="00C82EFA"/>
    <w:rsid w:val="00C9436F"/>
    <w:rsid w:val="00C96B15"/>
    <w:rsid w:val="00C96FC6"/>
    <w:rsid w:val="00CB1A45"/>
    <w:rsid w:val="00CB6885"/>
    <w:rsid w:val="00CC7495"/>
    <w:rsid w:val="00CD26FB"/>
    <w:rsid w:val="00CE53B0"/>
    <w:rsid w:val="00CE6255"/>
    <w:rsid w:val="00CE7B75"/>
    <w:rsid w:val="00D025FA"/>
    <w:rsid w:val="00D35BE4"/>
    <w:rsid w:val="00D413BD"/>
    <w:rsid w:val="00D53D7B"/>
    <w:rsid w:val="00D57FD9"/>
    <w:rsid w:val="00D820A3"/>
    <w:rsid w:val="00D8238C"/>
    <w:rsid w:val="00DA5103"/>
    <w:rsid w:val="00DB111C"/>
    <w:rsid w:val="00DB2603"/>
    <w:rsid w:val="00DB2B6E"/>
    <w:rsid w:val="00DC35A7"/>
    <w:rsid w:val="00DC3DD9"/>
    <w:rsid w:val="00DC6B91"/>
    <w:rsid w:val="00DE0F58"/>
    <w:rsid w:val="00DE2167"/>
    <w:rsid w:val="00DF7455"/>
    <w:rsid w:val="00E10F86"/>
    <w:rsid w:val="00E12A23"/>
    <w:rsid w:val="00E22AA9"/>
    <w:rsid w:val="00E33225"/>
    <w:rsid w:val="00E33EBD"/>
    <w:rsid w:val="00E3546E"/>
    <w:rsid w:val="00E36AE3"/>
    <w:rsid w:val="00E42D5A"/>
    <w:rsid w:val="00E43FFE"/>
    <w:rsid w:val="00E45C74"/>
    <w:rsid w:val="00E50591"/>
    <w:rsid w:val="00E560E9"/>
    <w:rsid w:val="00E705A0"/>
    <w:rsid w:val="00E714C4"/>
    <w:rsid w:val="00E7442A"/>
    <w:rsid w:val="00E83A6B"/>
    <w:rsid w:val="00E85837"/>
    <w:rsid w:val="00E86468"/>
    <w:rsid w:val="00E96598"/>
    <w:rsid w:val="00EB31EF"/>
    <w:rsid w:val="00EB411A"/>
    <w:rsid w:val="00EB66DF"/>
    <w:rsid w:val="00EC6CFA"/>
    <w:rsid w:val="00EC7B99"/>
    <w:rsid w:val="00EE1422"/>
    <w:rsid w:val="00EE23A9"/>
    <w:rsid w:val="00EE5962"/>
    <w:rsid w:val="00EE7583"/>
    <w:rsid w:val="00EF54FC"/>
    <w:rsid w:val="00EF7C6A"/>
    <w:rsid w:val="00F016C7"/>
    <w:rsid w:val="00F06188"/>
    <w:rsid w:val="00F22B41"/>
    <w:rsid w:val="00F24A2A"/>
    <w:rsid w:val="00F30A16"/>
    <w:rsid w:val="00F40D4E"/>
    <w:rsid w:val="00F634D6"/>
    <w:rsid w:val="00F6612A"/>
    <w:rsid w:val="00F878BD"/>
    <w:rsid w:val="00F9517F"/>
    <w:rsid w:val="00FA1D84"/>
    <w:rsid w:val="00FA59CE"/>
    <w:rsid w:val="00FA5AB0"/>
    <w:rsid w:val="00FB2F28"/>
    <w:rsid w:val="00FB7660"/>
    <w:rsid w:val="00FC1799"/>
    <w:rsid w:val="00FC7D0C"/>
    <w:rsid w:val="00FE0AF2"/>
    <w:rsid w:val="00FF0156"/>
    <w:rsid w:val="00FF0BE5"/>
    <w:rsid w:val="00FF22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35E3C"/>
  <w15:docId w15:val="{6F031B9F-FBB4-4110-935C-6EF7360AB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paragraph" w:styleId="Nadpis1">
    <w:name w:val="heading 1"/>
    <w:basedOn w:val="Normln"/>
    <w:next w:val="Normln"/>
    <w:link w:val="Nadpis1Char"/>
    <w:autoRedefine/>
    <w:uiPriority w:val="99"/>
    <w:qFormat/>
    <w:rsid w:val="008437E9"/>
    <w:pPr>
      <w:widowControl w:val="0"/>
      <w:numPr>
        <w:numId w:val="10"/>
      </w:numPr>
      <w:pBdr>
        <w:top w:val="single" w:sz="4" w:space="1" w:color="auto"/>
        <w:left w:val="single" w:sz="4" w:space="4" w:color="auto"/>
        <w:bottom w:val="single" w:sz="4" w:space="1" w:color="auto"/>
        <w:right w:val="single" w:sz="4" w:space="4" w:color="auto"/>
      </w:pBdr>
      <w:spacing w:before="120" w:after="0" w:line="240" w:lineRule="auto"/>
      <w:ind w:hanging="720"/>
      <w:outlineLvl w:val="0"/>
    </w:pPr>
    <w:rPr>
      <w:rFonts w:ascii="Calibri" w:eastAsia="Times New Roman" w:hAnsi="Calibri" w:cs="Calibri"/>
      <w:b/>
      <w:bCs/>
      <w:kern w:val="1"/>
      <w:sz w:val="24"/>
      <w:szCs w:val="24"/>
      <w:lang w:eastAsia="ar-SA"/>
    </w:rPr>
  </w:style>
  <w:style w:type="paragraph" w:styleId="Nadpis2">
    <w:name w:val="heading 2"/>
    <w:basedOn w:val="Normln"/>
    <w:next w:val="Normln"/>
    <w:link w:val="Nadpis2Char"/>
    <w:qFormat/>
    <w:rsid w:val="008437E9"/>
    <w:pPr>
      <w:keepNext/>
      <w:numPr>
        <w:ilvl w:val="1"/>
        <w:numId w:val="9"/>
      </w:numPr>
      <w:suppressAutoHyphens/>
      <w:spacing w:after="0" w:line="240" w:lineRule="auto"/>
      <w:outlineLvl w:val="1"/>
    </w:pPr>
    <w:rPr>
      <w:rFonts w:ascii="Times New Roman" w:eastAsia="Times New Roman" w:hAnsi="Times New Roman" w:cs="Times New Roman"/>
      <w:b/>
      <w:color w:val="000000"/>
      <w:lang w:eastAsia="ar-SA"/>
    </w:rPr>
  </w:style>
  <w:style w:type="paragraph" w:styleId="Nadpis3">
    <w:name w:val="heading 3"/>
    <w:basedOn w:val="Normln"/>
    <w:next w:val="Normln"/>
    <w:link w:val="Nadpis3Char"/>
    <w:qFormat/>
    <w:rsid w:val="008437E9"/>
    <w:pPr>
      <w:keepNext/>
      <w:numPr>
        <w:ilvl w:val="2"/>
        <w:numId w:val="9"/>
      </w:numPr>
      <w:suppressAutoHyphens/>
      <w:spacing w:before="240" w:after="0" w:line="240" w:lineRule="auto"/>
      <w:outlineLvl w:val="2"/>
    </w:pPr>
    <w:rPr>
      <w:rFonts w:ascii="Times New Roman" w:eastAsia="Times New Roman" w:hAnsi="Times New Roman" w:cs="Arial"/>
      <w:bCs/>
      <w:szCs w:val="26"/>
      <w:u w:val="single"/>
      <w:lang w:eastAsia="ar-SA"/>
    </w:rPr>
  </w:style>
  <w:style w:type="paragraph" w:styleId="Nadpis4">
    <w:name w:val="heading 4"/>
    <w:basedOn w:val="Normln"/>
    <w:next w:val="Normln"/>
    <w:link w:val="Nadpis4Char"/>
    <w:qFormat/>
    <w:rsid w:val="008437E9"/>
    <w:pPr>
      <w:keepNext/>
      <w:numPr>
        <w:ilvl w:val="3"/>
        <w:numId w:val="9"/>
      </w:numPr>
      <w:suppressAutoHyphens/>
      <w:spacing w:before="240" w:after="0" w:line="240" w:lineRule="auto"/>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8437E9"/>
    <w:pPr>
      <w:keepNext/>
      <w:numPr>
        <w:ilvl w:val="4"/>
        <w:numId w:val="9"/>
      </w:numPr>
      <w:suppressAutoHyphens/>
      <w:spacing w:after="0" w:line="240" w:lineRule="auto"/>
      <w:outlineLvl w:val="4"/>
    </w:pPr>
    <w:rPr>
      <w:rFonts w:ascii="Times New Roman" w:eastAsia="Times New Roman" w:hAnsi="Times New Roman" w:cs="Times New Roman"/>
      <w:b/>
      <w:sz w:val="28"/>
      <w:szCs w:val="20"/>
      <w:lang w:eastAsia="ar-SA"/>
    </w:rPr>
  </w:style>
  <w:style w:type="paragraph" w:styleId="Nadpis6">
    <w:name w:val="heading 6"/>
    <w:basedOn w:val="Normln"/>
    <w:next w:val="Normln"/>
    <w:link w:val="Nadpis6Char"/>
    <w:qFormat/>
    <w:rsid w:val="008437E9"/>
    <w:pPr>
      <w:keepNext/>
      <w:numPr>
        <w:ilvl w:val="5"/>
        <w:numId w:val="9"/>
      </w:numPr>
      <w:suppressAutoHyphens/>
      <w:spacing w:after="0" w:line="240" w:lineRule="auto"/>
      <w:jc w:val="right"/>
      <w:outlineLvl w:val="5"/>
    </w:pPr>
    <w:rPr>
      <w:rFonts w:ascii="Arial" w:eastAsia="Times New Roman" w:hAnsi="Arial" w:cs="Times New Roman"/>
      <w:b/>
      <w:szCs w:val="20"/>
      <w:lang w:eastAsia="ar-SA"/>
    </w:rPr>
  </w:style>
  <w:style w:type="paragraph" w:styleId="Nadpis7">
    <w:name w:val="heading 7"/>
    <w:basedOn w:val="Normln"/>
    <w:next w:val="Normln"/>
    <w:link w:val="Nadpis7Char"/>
    <w:qFormat/>
    <w:rsid w:val="008437E9"/>
    <w:pPr>
      <w:numPr>
        <w:ilvl w:val="6"/>
        <w:numId w:val="9"/>
      </w:numPr>
      <w:suppressAutoHyphens/>
      <w:spacing w:before="240" w:after="0" w:line="240" w:lineRule="auto"/>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8437E9"/>
    <w:pPr>
      <w:numPr>
        <w:ilvl w:val="7"/>
        <w:numId w:val="9"/>
      </w:numPr>
      <w:suppressAutoHyphens/>
      <w:spacing w:before="240" w:after="0" w:line="240" w:lineRule="auto"/>
      <w:outlineLvl w:val="7"/>
    </w:pPr>
    <w:rPr>
      <w:rFonts w:ascii="Times New Roman" w:eastAsia="Times New Roman" w:hAnsi="Times New Roman" w:cs="Times New Roman"/>
      <w:i/>
      <w:iCs/>
      <w:sz w:val="24"/>
      <w:szCs w:val="24"/>
      <w:lang w:eastAsia="ar-SA"/>
    </w:rPr>
  </w:style>
  <w:style w:type="paragraph" w:styleId="Nadpis9">
    <w:name w:val="heading 9"/>
    <w:basedOn w:val="Normln"/>
    <w:next w:val="Normln"/>
    <w:link w:val="Nadpis9Char"/>
    <w:qFormat/>
    <w:rsid w:val="008437E9"/>
    <w:pPr>
      <w:numPr>
        <w:ilvl w:val="8"/>
        <w:numId w:val="9"/>
      </w:numPr>
      <w:suppressAutoHyphens/>
      <w:spacing w:before="240" w:after="0" w:line="240" w:lineRule="auto"/>
      <w:outlineLvl w:val="8"/>
    </w:pPr>
    <w:rPr>
      <w:rFonts w:ascii="Arial" w:eastAsia="Times New Roman" w:hAnsi="Arial" w:cs="Arial"/>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3"/>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3"/>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2"/>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3"/>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3"/>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character" w:customStyle="1" w:styleId="Nadpis1Char">
    <w:name w:val="Nadpis 1 Char"/>
    <w:basedOn w:val="Standardnpsmoodstavce"/>
    <w:link w:val="Nadpis1"/>
    <w:uiPriority w:val="99"/>
    <w:rsid w:val="008437E9"/>
    <w:rPr>
      <w:rFonts w:ascii="Calibri" w:eastAsia="Times New Roman" w:hAnsi="Calibri" w:cs="Calibri"/>
      <w:b/>
      <w:bCs/>
      <w:kern w:val="1"/>
      <w:sz w:val="24"/>
      <w:szCs w:val="24"/>
      <w:lang w:eastAsia="ar-SA"/>
    </w:rPr>
  </w:style>
  <w:style w:type="character" w:customStyle="1" w:styleId="Nadpis2Char">
    <w:name w:val="Nadpis 2 Char"/>
    <w:basedOn w:val="Standardnpsmoodstavce"/>
    <w:link w:val="Nadpis2"/>
    <w:rsid w:val="008437E9"/>
    <w:rPr>
      <w:rFonts w:ascii="Times New Roman" w:eastAsia="Times New Roman" w:hAnsi="Times New Roman" w:cs="Times New Roman"/>
      <w:b/>
      <w:color w:val="000000"/>
      <w:lang w:eastAsia="ar-SA"/>
    </w:rPr>
  </w:style>
  <w:style w:type="character" w:customStyle="1" w:styleId="Nadpis3Char">
    <w:name w:val="Nadpis 3 Char"/>
    <w:basedOn w:val="Standardnpsmoodstavce"/>
    <w:link w:val="Nadpis3"/>
    <w:rsid w:val="008437E9"/>
    <w:rPr>
      <w:rFonts w:ascii="Times New Roman" w:eastAsia="Times New Roman" w:hAnsi="Times New Roman" w:cs="Arial"/>
      <w:bCs/>
      <w:szCs w:val="26"/>
      <w:u w:val="single"/>
      <w:lang w:eastAsia="ar-SA"/>
    </w:rPr>
  </w:style>
  <w:style w:type="character" w:customStyle="1" w:styleId="Nadpis4Char">
    <w:name w:val="Nadpis 4 Char"/>
    <w:basedOn w:val="Standardnpsmoodstavce"/>
    <w:link w:val="Nadpis4"/>
    <w:rsid w:val="008437E9"/>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8437E9"/>
    <w:rPr>
      <w:rFonts w:ascii="Times New Roman" w:eastAsia="Times New Roman" w:hAnsi="Times New Roman" w:cs="Times New Roman"/>
      <w:b/>
      <w:sz w:val="28"/>
      <w:szCs w:val="20"/>
      <w:lang w:eastAsia="ar-SA"/>
    </w:rPr>
  </w:style>
  <w:style w:type="character" w:customStyle="1" w:styleId="Nadpis6Char">
    <w:name w:val="Nadpis 6 Char"/>
    <w:basedOn w:val="Standardnpsmoodstavce"/>
    <w:link w:val="Nadpis6"/>
    <w:rsid w:val="008437E9"/>
    <w:rPr>
      <w:rFonts w:ascii="Arial" w:eastAsia="Times New Roman" w:hAnsi="Arial" w:cs="Times New Roman"/>
      <w:b/>
      <w:szCs w:val="20"/>
      <w:lang w:eastAsia="ar-SA"/>
    </w:rPr>
  </w:style>
  <w:style w:type="character" w:customStyle="1" w:styleId="Nadpis7Char">
    <w:name w:val="Nadpis 7 Char"/>
    <w:basedOn w:val="Standardnpsmoodstavce"/>
    <w:link w:val="Nadpis7"/>
    <w:rsid w:val="008437E9"/>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8437E9"/>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8437E9"/>
    <w:rPr>
      <w:rFonts w:ascii="Arial" w:eastAsia="Times New Roman" w:hAnsi="Arial" w:cs="Arial"/>
      <w:lang w:eastAsia="ar-SA"/>
    </w:rPr>
  </w:style>
  <w:style w:type="paragraph" w:styleId="Odstavecseseznamem">
    <w:name w:val="List Paragraph"/>
    <w:aliases w:val="Styl2,Conclusion de partie"/>
    <w:basedOn w:val="Normln"/>
    <w:link w:val="OdstavecseseznamemChar"/>
    <w:uiPriority w:val="34"/>
    <w:qFormat/>
    <w:rsid w:val="00E3546E"/>
    <w:pPr>
      <w:suppressAutoHyphens/>
      <w:spacing w:after="0" w:line="240" w:lineRule="auto"/>
      <w:ind w:left="720"/>
      <w:contextualSpacing/>
    </w:pPr>
    <w:rPr>
      <w:rFonts w:ascii="Times New Roman" w:eastAsia="Times New Roman" w:hAnsi="Times New Roman" w:cs="Times New Roman"/>
      <w:szCs w:val="20"/>
      <w:lang w:eastAsia="ar-SA"/>
    </w:rPr>
  </w:style>
  <w:style w:type="character" w:customStyle="1" w:styleId="OdstavecseseznamemChar">
    <w:name w:val="Odstavec se seznamem Char"/>
    <w:aliases w:val="Styl2 Char,Conclusion de partie Char"/>
    <w:link w:val="Odstavecseseznamem"/>
    <w:uiPriority w:val="34"/>
    <w:rsid w:val="00E3546E"/>
    <w:rPr>
      <w:rFonts w:ascii="Times New Roman" w:eastAsia="Times New Roman" w:hAnsi="Times New Roman" w:cs="Times New Roman"/>
      <w:szCs w:val="20"/>
      <w:lang w:eastAsia="ar-SA"/>
    </w:rPr>
  </w:style>
  <w:style w:type="paragraph" w:styleId="Revize">
    <w:name w:val="Revision"/>
    <w:hidden/>
    <w:uiPriority w:val="99"/>
    <w:semiHidden/>
    <w:rsid w:val="006902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64b58b-1b19-4794-b7f9-886fb6d9a2b0">
      <Terms xmlns="http://schemas.microsoft.com/office/infopath/2007/PartnerControls"/>
    </lcf76f155ced4ddcb4097134ff3c332f>
    <TaxCatchAll xmlns="77f257e9-eb97-443c-a232-8d898b2606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CBD291BE59A3141BC0C7BB7C5404DC9" ma:contentTypeVersion="13" ma:contentTypeDescription="Vytvoří nový dokument" ma:contentTypeScope="" ma:versionID="1310175db1f83604e9a97991bc20c404">
  <xsd:schema xmlns:xsd="http://www.w3.org/2001/XMLSchema" xmlns:xs="http://www.w3.org/2001/XMLSchema" xmlns:p="http://schemas.microsoft.com/office/2006/metadata/properties" xmlns:ns2="0e64b58b-1b19-4794-b7f9-886fb6d9a2b0" xmlns:ns3="77f257e9-eb97-443c-a232-8d898b260633" targetNamespace="http://schemas.microsoft.com/office/2006/metadata/properties" ma:root="true" ma:fieldsID="80d6b893de794feee4ae32a205e48c0c" ns2:_="" ns3:_="">
    <xsd:import namespace="0e64b58b-1b19-4794-b7f9-886fb6d9a2b0"/>
    <xsd:import namespace="77f257e9-eb97-443c-a232-8d898b2606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4b58b-1b19-4794-b7f9-886fb6d9a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c983acfc-808f-4152-971b-7dbe7fd5d54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57e9-eb97-443c-a232-8d898b26063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6ae8f395-67d1-4a83-b2ef-49a88c56cb51}" ma:internalName="TaxCatchAll" ma:showField="CatchAllData" ma:web="77f257e9-eb97-443c-a232-8d898b260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2BB0E-8950-4D0F-8371-49970367BEE2}">
  <ds:schemaRefs>
    <ds:schemaRef ds:uri="http://schemas.microsoft.com/sharepoint/v3/contenttype/forms"/>
  </ds:schemaRefs>
</ds:datastoreItem>
</file>

<file path=customXml/itemProps2.xml><?xml version="1.0" encoding="utf-8"?>
<ds:datastoreItem xmlns:ds="http://schemas.openxmlformats.org/officeDocument/2006/customXml" ds:itemID="{229EE87F-B701-44CA-ACEE-3B5628FE6E65}">
  <ds:schemaRefs>
    <ds:schemaRef ds:uri="http://schemas.microsoft.com/office/2006/metadata/properties"/>
    <ds:schemaRef ds:uri="http://schemas.microsoft.com/office/infopath/2007/PartnerControls"/>
    <ds:schemaRef ds:uri="0e64b58b-1b19-4794-b7f9-886fb6d9a2b0"/>
    <ds:schemaRef ds:uri="77f257e9-eb97-443c-a232-8d898b260633"/>
  </ds:schemaRefs>
</ds:datastoreItem>
</file>

<file path=customXml/itemProps3.xml><?xml version="1.0" encoding="utf-8"?>
<ds:datastoreItem xmlns:ds="http://schemas.openxmlformats.org/officeDocument/2006/customXml" ds:itemID="{420F6213-1297-4A2B-AA93-29E8EE1BB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4b58b-1b19-4794-b7f9-886fb6d9a2b0"/>
    <ds:schemaRef ds:uri="77f257e9-eb97-443c-a232-8d898b260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773</Words>
  <Characters>4563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Pruska</dc:creator>
  <cp:lastModifiedBy>Fischerová, Karolína</cp:lastModifiedBy>
  <cp:revision>6</cp:revision>
  <cp:lastPrinted>2019-07-08T10:51:00Z</cp:lastPrinted>
  <dcterms:created xsi:type="dcterms:W3CDTF">2024-06-08T09:14:00Z</dcterms:created>
  <dcterms:modified xsi:type="dcterms:W3CDTF">2024-06-14T11:50:00Z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0x0101004CBD291BE59A3141BC0C7BB7C5404DC9</vt:lpwstr>
  </property>
</Properties>
</file>